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afterLines="0" w:line="560" w:lineRule="exact"/>
              <w:contextualSpacing/>
              <w:jc w:val="center"/>
              <w:rPr>
                <w:rFonts w:hint="default" w:ascii="Times New Roman" w:hAnsi="Times New Roman" w:eastAsia="仿宋"/>
                <w:b/>
                <w:color w:val="FF0000"/>
                <w:spacing w:val="50"/>
                <w:w w:val="90"/>
                <w:sz w:val="32"/>
                <w:szCs w:val="32"/>
                <w:lang w:eastAsia="zh-CN"/>
              </w:rPr>
            </w:pPr>
            <w:bookmarkStart w:id="0" w:name="docnum"/>
            <w:r>
              <w:rPr>
                <w:rFonts w:hint="default" w:ascii="Times New Roman" w:hAnsi="Times New Roman" w:eastAsia="仿宋"/>
                <w:sz w:val="32"/>
                <w:szCs w:val="32"/>
                <w:lang w:eastAsia="zh-CN"/>
              </w:rPr>
              <w:t>厦大财〔2022〕40号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afterLines="0" w:line="560" w:lineRule="exact"/>
              <w:jc w:val="both"/>
              <w:rPr>
                <w:rFonts w:hint="default" w:ascii="Times New Roman" w:hAnsi="Times New Roman" w:eastAsia="仿宋"/>
                <w:sz w:val="32"/>
                <w:szCs w:val="32"/>
              </w:rPr>
            </w:pPr>
            <w:r>
              <w:rPr>
                <w:rFonts w:hint="default" w:ascii="Times New Roman" w:hAnsi="Times New Roman" w:eastAsia="仿宋"/>
                <w:sz w:val="32"/>
                <w:szCs w:val="32"/>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p>
        </w:tc>
      </w:tr>
    </w:tbl>
    <w:p>
      <w:pPr>
        <w:widowControl/>
        <w:adjustRightInd w:val="0"/>
        <w:spacing w:afterLines="0" w:line="560" w:lineRule="exact"/>
        <w:contextualSpacing/>
        <w:rPr>
          <w:rFonts w:hint="default" w:ascii="Times New Roman" w:hAnsi="Times New Roman" w:eastAsia="仿宋"/>
          <w:sz w:val="32"/>
          <w:szCs w:val="32"/>
        </w:rPr>
      </w:pPr>
    </w:p>
    <w:p>
      <w:pPr>
        <w:pStyle w:val="22"/>
        <w:spacing w:after="0" w:afterLines="0" w:line="560" w:lineRule="exact"/>
        <w:ind w:firstLine="0"/>
        <w:rPr>
          <w:rFonts w:hint="eastAsia" w:ascii="方正小标宋简体" w:hAnsi="方正小标宋简体" w:eastAsia="方正小标宋简体" w:cs="方正小标宋简体"/>
          <w:sz w:val="44"/>
          <w:szCs w:val="44"/>
        </w:rPr>
      </w:pPr>
      <w:bookmarkStart w:id="1" w:name="redhead"/>
      <w:r>
        <w:rPr>
          <w:rFonts w:hint="eastAsia" w:ascii="方正小标宋简体" w:hAnsi="方正小标宋简体" w:cs="方正小标宋简体"/>
          <w:szCs w:val="44"/>
        </w:rPr>
        <w:t>关于印发《厦门大学科研项目结题</w:t>
      </w:r>
    </w:p>
    <w:p>
      <w:pPr>
        <w:pStyle w:val="22"/>
        <w:spacing w:after="0" w:afterLines="0" w:line="560" w:lineRule="exact"/>
        <w:ind w:firstLine="0"/>
        <w:rPr>
          <w:rFonts w:hint="eastAsia" w:ascii="方正小标宋简体" w:hAnsi="方正小标宋简体" w:cs="方正小标宋简体"/>
          <w:szCs w:val="44"/>
        </w:rPr>
      </w:pPr>
      <w:r>
        <w:rPr>
          <w:rFonts w:hint="eastAsia" w:ascii="方正小标宋简体" w:hAnsi="方正小标宋简体" w:cs="方正小标宋简体"/>
          <w:szCs w:val="44"/>
        </w:rPr>
        <w:t>结账及结余资金管理办法》的通知</w:t>
      </w:r>
    </w:p>
    <w:p>
      <w:pPr>
        <w:pStyle w:val="22"/>
        <w:spacing w:after="0" w:afterLines="0" w:line="560" w:lineRule="exact"/>
        <w:ind w:firstLine="880"/>
        <w:jc w:val="both"/>
        <w:rPr>
          <w:rFonts w:hint="default" w:eastAsia="仿宋" w:cs="Times New Roman"/>
          <w:sz w:val="32"/>
          <w:szCs w:val="32"/>
        </w:rPr>
      </w:pPr>
    </w:p>
    <w:p>
      <w:pPr>
        <w:pStyle w:val="22"/>
        <w:spacing w:afterLines="0" w:line="560" w:lineRule="exact"/>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全校各单位：</w:t>
      </w:r>
    </w:p>
    <w:p>
      <w:pPr>
        <w:pStyle w:val="22"/>
        <w:spacing w:afterLines="0" w:line="560" w:lineRule="exact"/>
        <w:ind w:firstLine="640" w:firstLineChars="200"/>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《厦门大学科研项目结题结账及结余资金管理办法》经厦门大学2022年第19次校长办公会议、中共厦门大学第十一届委员会常务委员会第172次会议审议通过，现予以印发，请遵照执行。   </w:t>
      </w:r>
    </w:p>
    <w:p>
      <w:pPr>
        <w:pStyle w:val="22"/>
        <w:spacing w:afterLines="0" w:line="560" w:lineRule="exact"/>
        <w:ind w:firstLine="640" w:firstLineChars="200"/>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特此通知。</w:t>
      </w:r>
    </w:p>
    <w:p>
      <w:pPr>
        <w:pStyle w:val="22"/>
        <w:spacing w:afterLines="0" w:line="560" w:lineRule="exact"/>
        <w:ind w:firstLine="879"/>
        <w:jc w:val="both"/>
        <w:rPr>
          <w:rFonts w:hint="default" w:ascii="Times New Roman" w:hAnsi="Times New Roman" w:eastAsia="仿宋" w:cs="Times New Roman"/>
          <w:sz w:val="32"/>
          <w:szCs w:val="32"/>
        </w:rPr>
      </w:pPr>
    </w:p>
    <w:p>
      <w:pPr>
        <w:pStyle w:val="22"/>
        <w:spacing w:afterLines="0" w:line="560" w:lineRule="exact"/>
        <w:ind w:firstLine="879"/>
        <w:jc w:val="both"/>
        <w:rPr>
          <w:rFonts w:hint="default" w:ascii="Times New Roman" w:hAnsi="Times New Roman" w:eastAsia="仿宋" w:cs="Times New Roman"/>
          <w:sz w:val="32"/>
          <w:szCs w:val="32"/>
        </w:rPr>
      </w:pPr>
    </w:p>
    <w:p>
      <w:pPr>
        <w:pStyle w:val="22"/>
        <w:spacing w:afterLines="0" w:line="560" w:lineRule="exact"/>
        <w:ind w:firstLine="879"/>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default" w:eastAsia="仿宋" w:cs="Times New Roman"/>
          <w:sz w:val="32"/>
          <w:szCs w:val="32"/>
        </w:rPr>
        <w:t xml:space="preserve">    </w:t>
      </w:r>
      <w:r>
        <w:rPr>
          <w:rFonts w:hint="default" w:ascii="Times New Roman" w:hAnsi="Times New Roman" w:eastAsia="仿宋" w:cs="Times New Roman"/>
          <w:sz w:val="32"/>
          <w:szCs w:val="32"/>
        </w:rPr>
        <w:t>厦门大学</w:t>
      </w:r>
    </w:p>
    <w:p>
      <w:pPr>
        <w:pStyle w:val="22"/>
        <w:spacing w:afterLines="0" w:line="560" w:lineRule="exact"/>
        <w:ind w:firstLine="879"/>
        <w:jc w:val="both"/>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2022年8月10日</w:t>
      </w:r>
    </w:p>
    <w:p>
      <w:pPr>
        <w:pStyle w:val="22"/>
        <w:spacing w:after="0" w:afterLines="0" w:line="560" w:lineRule="exact"/>
        <w:ind w:firstLine="880"/>
        <w:jc w:val="both"/>
        <w:rPr>
          <w:rFonts w:hint="default" w:eastAsia="仿宋" w:cs="Times New Roman"/>
          <w:sz w:val="32"/>
          <w:szCs w:val="32"/>
        </w:rPr>
      </w:pPr>
    </w:p>
    <w:p>
      <w:pPr>
        <w:pStyle w:val="22"/>
        <w:spacing w:beforeLines="0" w:afterLines="0" w:line="560" w:lineRule="exact"/>
        <w:rPr>
          <w:rFonts w:hint="eastAsia"/>
        </w:rPr>
      </w:pPr>
      <w:r>
        <w:rPr>
          <w:rFonts w:hint="eastAsia"/>
        </w:rPr>
        <w:t>厦门大学科研项目结题结账及</w:t>
      </w:r>
    </w:p>
    <w:p>
      <w:pPr>
        <w:pStyle w:val="22"/>
        <w:spacing w:beforeLines="0" w:afterLines="0" w:line="560" w:lineRule="exact"/>
        <w:rPr>
          <w:rFonts w:hint="eastAsia"/>
        </w:rPr>
      </w:pPr>
      <w:r>
        <w:rPr>
          <w:rFonts w:hint="eastAsia"/>
        </w:rPr>
        <w:t>结余资金管理办法</w:t>
      </w:r>
    </w:p>
    <w:p>
      <w:pPr>
        <w:pStyle w:val="22"/>
        <w:spacing w:beforeLines="0" w:afterLines="0" w:line="560" w:lineRule="exact"/>
        <w:rPr>
          <w:rFonts w:hint="eastAsia"/>
        </w:rPr>
      </w:pPr>
    </w:p>
    <w:p>
      <w:pPr>
        <w:pStyle w:val="2"/>
        <w:spacing w:before="0" w:beforeLines="0" w:line="560" w:lineRule="exact"/>
        <w:rPr>
          <w:b w:val="0"/>
          <w:bCs w:val="0"/>
        </w:rPr>
      </w:pPr>
      <w:r>
        <w:rPr>
          <w:rFonts w:hint="eastAsia"/>
          <w:b w:val="0"/>
          <w:bCs w:val="0"/>
        </w:rPr>
        <w:t>总则</w:t>
      </w:r>
    </w:p>
    <w:p>
      <w:pPr>
        <w:pStyle w:val="3"/>
        <w:spacing w:beforeLines="0" w:line="560" w:lineRule="exact"/>
        <w:ind w:firstLine="632"/>
        <w:jc w:val="both"/>
      </w:pPr>
      <w:r>
        <w:rPr>
          <w:rFonts w:hint="eastAsia"/>
        </w:rPr>
        <w:t>为了进一步规范厦门大学科研项目结题结账，加强结余资金管理，提高资金使用效益，根据《国务院关于改进加强中央财政科研项目和资金管理的若干意见》（国发〔2014〕11号）、《关于进一步完善中央财政科研项目资金管理等政策的若干意见》（2016年）、《国务院关于优化科研管理提升科研绩效若干措施的通知》（国发〔2018〕25号）和《国务院办公厅关于改革完善中央财政科研经费管理的若干意见》（国办发〔2021〕32号）等有关文件规定，结合学校实际，制定本办法。</w:t>
      </w:r>
    </w:p>
    <w:p>
      <w:pPr>
        <w:pStyle w:val="3"/>
        <w:spacing w:beforeLines="0" w:line="560" w:lineRule="exact"/>
        <w:ind w:firstLine="632"/>
        <w:jc w:val="both"/>
      </w:pPr>
      <w:r>
        <w:rPr>
          <w:rFonts w:hint="eastAsia"/>
          <w:color w:val="000000" w:themeColor="text1"/>
          <w14:textFill>
            <w14:solidFill>
              <w14:schemeClr w14:val="tx1"/>
            </w14:solidFill>
          </w14:textFill>
        </w:rPr>
        <w:t>本办法所称结余资金是指学校科研项目结题后的结余资金，包括纵向科研项目结余资金和横向科研项目结余资金。科研预研基金是由学校统筹的科研项目结余资金，主要用于原科研项目有关的续研工作或新项目的预研工作。</w:t>
      </w:r>
    </w:p>
    <w:p>
      <w:pPr>
        <w:pStyle w:val="3"/>
        <w:spacing w:beforeLines="0" w:line="560" w:lineRule="exact"/>
        <w:ind w:firstLine="632"/>
        <w:jc w:val="both"/>
        <w:rPr>
          <w:rFonts w:hint="eastAsia" w:ascii="仿宋" w:hAnsi="仿宋" w:cs="仿宋"/>
          <w:color w:val="000000" w:themeColor="text1"/>
          <w14:textFill>
            <w14:solidFill>
              <w14:schemeClr w14:val="tx1"/>
            </w14:solidFill>
          </w14:textFill>
        </w:rPr>
      </w:pPr>
      <w:r>
        <w:rPr>
          <w:rFonts w:hint="eastAsia"/>
          <w:color w:val="000000" w:themeColor="text1"/>
          <w14:textFill>
            <w14:solidFill>
              <w14:schemeClr w14:val="tx1"/>
            </w14:solidFill>
          </w14:textFill>
        </w:rPr>
        <w:t>结余经费</w:t>
      </w:r>
      <w:r>
        <w:rPr>
          <w:rFonts w:hint="eastAsia" w:ascii="仿宋" w:hAnsi="仿宋" w:cs="仿宋"/>
          <w:color w:val="000000" w:themeColor="text1"/>
          <w14:textFill>
            <w14:solidFill>
              <w14:schemeClr w14:val="tx1"/>
            </w14:solidFill>
          </w14:textFill>
        </w:rPr>
        <w:t>管理按照“学校统筹、项目负责人自愿申请、科研管理部门审批”的原则实施。</w:t>
      </w:r>
    </w:p>
    <w:p>
      <w:pPr>
        <w:spacing w:beforeLines="0" w:line="560" w:lineRule="exact"/>
      </w:pPr>
    </w:p>
    <w:p>
      <w:pPr>
        <w:pStyle w:val="2"/>
        <w:spacing w:before="0" w:beforeLines="0" w:line="560" w:lineRule="exact"/>
        <w:rPr>
          <w:b w:val="0"/>
          <w:bCs w:val="0"/>
        </w:rPr>
      </w:pPr>
      <w:r>
        <w:rPr>
          <w:rFonts w:hint="eastAsia"/>
          <w:b w:val="0"/>
          <w:bCs w:val="0"/>
        </w:rPr>
        <w:t>职责与权限</w:t>
      </w:r>
    </w:p>
    <w:p>
      <w:pPr>
        <w:pStyle w:val="3"/>
        <w:spacing w:beforeLines="0" w:line="560" w:lineRule="exact"/>
        <w:ind w:firstLine="632"/>
        <w:jc w:val="both"/>
      </w:pPr>
      <w:r>
        <w:rPr>
          <w:rFonts w:hint="eastAsia"/>
        </w:rPr>
        <w:t>学校各有关职能部门、二级单位（含学院、研究院、直属系、中心等及其他不具有法人资格的单位）及项目负责人应当各司其职，加强协同，密切配合，共同做好科研项目结题结账及结余资金管理工作，具体职责分工如下：</w:t>
      </w:r>
    </w:p>
    <w:p>
      <w:pPr>
        <w:pStyle w:val="4"/>
        <w:numPr>
          <w:ilvl w:val="-1"/>
          <w:numId w:val="0"/>
        </w:numPr>
        <w:spacing w:beforeLines="0" w:line="560" w:lineRule="exact"/>
        <w:ind w:left="0" w:leftChars="0" w:firstLine="640"/>
      </w:pPr>
      <w:r>
        <w:rPr>
          <w:rFonts w:hint="default"/>
        </w:rPr>
        <w:t>（一）</w:t>
      </w:r>
      <w:r>
        <w:rPr>
          <w:rFonts w:hint="eastAsia"/>
        </w:rPr>
        <w:t>科技处和社科处作为学校科研管理部门，负责科研项目结题及后续相关事项管理；</w:t>
      </w:r>
    </w:p>
    <w:p>
      <w:pPr>
        <w:pStyle w:val="4"/>
        <w:numPr>
          <w:ilvl w:val="-1"/>
          <w:numId w:val="0"/>
        </w:numPr>
        <w:spacing w:beforeLines="0" w:line="560" w:lineRule="exact"/>
        <w:ind w:left="0" w:firstLine="640"/>
      </w:pPr>
      <w:r>
        <w:rPr>
          <w:rFonts w:hint="default"/>
        </w:rPr>
        <w:t>（二）</w:t>
      </w:r>
      <w:r>
        <w:rPr>
          <w:rFonts w:hint="eastAsia"/>
        </w:rPr>
        <w:t>财务处负责科研项目结账和结余资金核算管理；</w:t>
      </w:r>
    </w:p>
    <w:p>
      <w:pPr>
        <w:pStyle w:val="4"/>
        <w:numPr>
          <w:ilvl w:val="-1"/>
          <w:numId w:val="0"/>
        </w:numPr>
        <w:spacing w:beforeLines="0" w:line="560" w:lineRule="exact"/>
        <w:ind w:left="0" w:firstLine="640"/>
      </w:pPr>
      <w:r>
        <w:rPr>
          <w:rFonts w:hint="default"/>
        </w:rPr>
        <w:t>（三）</w:t>
      </w:r>
      <w:r>
        <w:rPr>
          <w:rFonts w:hint="eastAsia"/>
        </w:rPr>
        <w:t>审计处负责按照有关科研资金审计规定进行审计；</w:t>
      </w:r>
    </w:p>
    <w:p>
      <w:pPr>
        <w:pStyle w:val="4"/>
        <w:numPr>
          <w:ilvl w:val="-1"/>
          <w:numId w:val="0"/>
        </w:numPr>
        <w:spacing w:beforeLines="0" w:line="560" w:lineRule="exact"/>
        <w:ind w:left="0" w:firstLine="640"/>
      </w:pPr>
      <w:r>
        <w:rPr>
          <w:rFonts w:hint="default"/>
        </w:rPr>
        <w:t>（四）</w:t>
      </w:r>
      <w:r>
        <w:rPr>
          <w:rFonts w:hint="eastAsia"/>
        </w:rPr>
        <w:t>二级单位作为科研活动的基层管理单位，应当负责</w:t>
      </w:r>
      <w:r>
        <w:t>对本单位科研</w:t>
      </w:r>
      <w:r>
        <w:rPr>
          <w:rFonts w:hint="eastAsia"/>
        </w:rPr>
        <w:t>项目资金的</w:t>
      </w:r>
      <w:r>
        <w:t>使用承担监管责任</w:t>
      </w:r>
      <w:r>
        <w:rPr>
          <w:rFonts w:hint="eastAsia"/>
        </w:rPr>
        <w:t>；</w:t>
      </w:r>
    </w:p>
    <w:p>
      <w:pPr>
        <w:pStyle w:val="4"/>
        <w:numPr>
          <w:ilvl w:val="-1"/>
          <w:numId w:val="0"/>
        </w:numPr>
        <w:spacing w:beforeLines="0" w:line="560" w:lineRule="exact"/>
        <w:ind w:left="0" w:firstLine="640"/>
      </w:pPr>
      <w:r>
        <w:rPr>
          <w:rFonts w:hint="default"/>
        </w:rPr>
        <w:t>（五）</w:t>
      </w:r>
      <w:r>
        <w:rPr>
          <w:rFonts w:hint="eastAsia"/>
        </w:rPr>
        <w:t>项目负责人作为项目的直接责任人，在项目结束并通过结题验收后，应当按要求提供相关资料，及时办理结账，按照规定申请并使用结余资金，对科研项目的结题结账资料和经费使用的</w:t>
      </w:r>
      <w:r>
        <w:rPr>
          <w:rFonts w:hint="eastAsia"/>
          <w:kern w:val="0"/>
        </w:rPr>
        <w:t>真实性、有效性、合法性、合规性、合理性和相关性负责</w:t>
      </w:r>
      <w:r>
        <w:rPr>
          <w:rFonts w:hint="eastAsia"/>
        </w:rPr>
        <w:t>。</w:t>
      </w:r>
    </w:p>
    <w:p>
      <w:pPr>
        <w:spacing w:beforeLines="0" w:line="560" w:lineRule="exact"/>
      </w:pPr>
    </w:p>
    <w:p>
      <w:pPr>
        <w:pStyle w:val="2"/>
        <w:spacing w:before="0" w:beforeLines="0" w:line="560" w:lineRule="exact"/>
        <w:rPr>
          <w:b w:val="0"/>
          <w:bCs w:val="0"/>
        </w:rPr>
      </w:pPr>
      <w:r>
        <w:rPr>
          <w:rFonts w:hint="eastAsia"/>
          <w:b w:val="0"/>
          <w:bCs w:val="0"/>
        </w:rPr>
        <w:t>结题结账管理</w:t>
      </w:r>
    </w:p>
    <w:p>
      <w:pPr>
        <w:pStyle w:val="3"/>
        <w:spacing w:beforeLines="0" w:line="560" w:lineRule="exact"/>
        <w:ind w:firstLine="632"/>
        <w:jc w:val="both"/>
      </w:pPr>
      <w:r>
        <w:rPr>
          <w:rFonts w:hint="eastAsia"/>
        </w:rPr>
        <w:t>各类科研项目必须严格按照任务书、合同或协议等要求按时结题验收。因特殊情况需延期的，应当在约定时间届满前向学校科研管理部门提出申请，并经主管部门或项目委托方同意后方可执行。</w:t>
      </w:r>
    </w:p>
    <w:p>
      <w:pPr>
        <w:pStyle w:val="3"/>
        <w:spacing w:beforeLines="0" w:line="560" w:lineRule="exact"/>
        <w:ind w:firstLine="632"/>
        <w:jc w:val="both"/>
      </w:pPr>
      <w:r>
        <w:rPr>
          <w:rFonts w:hint="eastAsia"/>
        </w:rPr>
        <w:t>准备结题的科研项目，项目负责人应全面清理项目资金收支及应收应付等往来账款。应收及暂付款应当在结题验收前完成报销或归还等结算手续。</w:t>
      </w:r>
    </w:p>
    <w:p>
      <w:pPr>
        <w:pStyle w:val="3"/>
        <w:spacing w:beforeLines="0" w:line="560" w:lineRule="exact"/>
        <w:ind w:firstLine="632"/>
        <w:jc w:val="both"/>
      </w:pPr>
      <w:r>
        <w:rPr>
          <w:rFonts w:hint="eastAsia"/>
        </w:rPr>
        <w:t>除主管部门或项目委托方有明确规定外，项目完成研究任务并通过结题验收的，项目负责人应及时向科研管理部门提交项目结题资料，办理结账手续；对无正当理由不申请办结账手续的科研项目，学校有权按照本办法予以结账。</w:t>
      </w:r>
    </w:p>
    <w:p>
      <w:pPr>
        <w:spacing w:beforeLines="0" w:line="560" w:lineRule="exact"/>
      </w:pPr>
    </w:p>
    <w:p>
      <w:pPr>
        <w:pStyle w:val="2"/>
        <w:spacing w:before="0" w:beforeLines="0" w:line="560" w:lineRule="exact"/>
        <w:rPr>
          <w:b w:val="0"/>
          <w:bCs w:val="0"/>
        </w:rPr>
      </w:pPr>
      <w:r>
        <w:rPr>
          <w:rFonts w:hint="eastAsia"/>
          <w:b w:val="0"/>
          <w:bCs w:val="0"/>
        </w:rPr>
        <w:t>结余资金管理</w:t>
      </w:r>
    </w:p>
    <w:p>
      <w:pPr>
        <w:pStyle w:val="3"/>
        <w:spacing w:beforeLines="0" w:line="560" w:lineRule="exact"/>
        <w:ind w:firstLine="632"/>
        <w:jc w:val="both"/>
      </w:pPr>
      <w:r>
        <w:rPr>
          <w:rFonts w:hint="eastAsia"/>
        </w:rPr>
        <w:t>科研管理部门和二级单位应督促项目负责人按照研究计划按时办理项目结题和经费结账，并通知财务处办理结账手续，避免长期挂账。</w:t>
      </w:r>
    </w:p>
    <w:p>
      <w:pPr>
        <w:pStyle w:val="3"/>
        <w:spacing w:beforeLines="0" w:line="560" w:lineRule="exact"/>
        <w:ind w:firstLine="632"/>
        <w:jc w:val="both"/>
      </w:pPr>
      <w:r>
        <w:rPr>
          <w:rFonts w:hint="eastAsia"/>
        </w:rPr>
        <w:t>相关管理办法或任务书、合同、协议等对科研项目结余资金管理和使用范围有明确规定或约定的，从其规定或约定。其中：要求结余资金原渠道退回的，或因项目终止、未通过验收或整改后通过验收等原因结余资金需按原渠道收回的，项目负责人应根据主管部门或项目委托方的验收意见或要求，及时、足额向学校申请返还结余资金。</w:t>
      </w:r>
    </w:p>
    <w:p>
      <w:pPr>
        <w:pStyle w:val="3"/>
        <w:spacing w:beforeLines="0" w:line="560" w:lineRule="exact"/>
        <w:ind w:firstLine="632"/>
        <w:jc w:val="both"/>
      </w:pPr>
      <w:r>
        <w:rPr>
          <w:rFonts w:hint="eastAsia"/>
        </w:rPr>
        <w:t>纵向科研项目结余资金按照上级主管部门的有关规定办理，结余资金由学校统筹安排用于科研活动直接支出，优先考虑原项目团队科研需求。为了加强结余资金管理，健全结余资金盘活机制，加快资金使用进度，结余资金按以下规定执行：</w:t>
      </w:r>
    </w:p>
    <w:p>
      <w:pPr>
        <w:pStyle w:val="4"/>
        <w:numPr>
          <w:ilvl w:val="-1"/>
          <w:numId w:val="0"/>
        </w:numPr>
        <w:spacing w:beforeLines="0" w:line="560" w:lineRule="exact"/>
        <w:ind w:left="0" w:leftChars="0" w:firstLine="640"/>
      </w:pPr>
      <w:r>
        <w:rPr>
          <w:rFonts w:hint="default"/>
        </w:rPr>
        <w:t>（一）</w:t>
      </w:r>
      <w:r>
        <w:rPr>
          <w:rFonts w:hint="eastAsia"/>
        </w:rPr>
        <w:t>结余资金优先考虑原项目团队科研需求，留归原项目团队使用，全部用于科研活动的直接支出。</w:t>
      </w:r>
    </w:p>
    <w:p>
      <w:pPr>
        <w:pStyle w:val="4"/>
        <w:numPr>
          <w:ilvl w:val="-1"/>
          <w:numId w:val="0"/>
        </w:numPr>
        <w:spacing w:beforeLines="0" w:line="560" w:lineRule="exact"/>
        <w:ind w:left="0" w:leftChars="0" w:firstLine="640"/>
        <w:rPr>
          <w:rFonts w:hint="eastAsia" w:ascii="仿宋" w:hAnsi="仿宋" w:cs="仿宋"/>
        </w:rPr>
      </w:pPr>
      <w:r>
        <w:rPr>
          <w:rFonts w:hint="default"/>
        </w:rPr>
        <w:t>（二）</w:t>
      </w:r>
      <w:r>
        <w:rPr>
          <w:rFonts w:hint="eastAsia"/>
        </w:rPr>
        <w:t>项目负责人应本着勤俭节约的原则合理安排支出，最大限度地减少资金的结存结余，不得违反规定使用和转移结存结余</w:t>
      </w:r>
      <w:r>
        <w:rPr>
          <w:rFonts w:hint="eastAsia" w:ascii="仿宋" w:hAnsi="仿宋" w:cs="仿宋"/>
        </w:rPr>
        <w:t>资金。</w:t>
      </w:r>
    </w:p>
    <w:p>
      <w:pPr>
        <w:spacing w:beforeLines="0" w:line="560" w:lineRule="exact"/>
        <w:ind w:firstLine="632"/>
        <w:rPr>
          <w:rFonts w:hint="eastAsia" w:ascii="仿宋" w:hAnsi="仿宋" w:eastAsia="仿宋" w:cs="仿宋"/>
          <w:bCs/>
          <w:sz w:val="32"/>
          <w:szCs w:val="32"/>
        </w:rPr>
      </w:pPr>
      <w:r>
        <w:rPr>
          <w:rFonts w:hint="eastAsia" w:ascii="仿宋" w:hAnsi="仿宋" w:eastAsia="仿宋" w:cs="仿宋"/>
          <w:bCs/>
          <w:sz w:val="32"/>
          <w:szCs w:val="32"/>
        </w:rPr>
        <w:t>横向科研项目结余资金转入原项目团队的科研预研基金，科研预研基金按照合同或协议约定执行。</w:t>
      </w:r>
    </w:p>
    <w:p>
      <w:pPr>
        <w:pStyle w:val="3"/>
        <w:spacing w:beforeLines="0" w:line="560" w:lineRule="exact"/>
        <w:ind w:firstLine="632"/>
        <w:jc w:val="both"/>
      </w:pPr>
      <w:r>
        <w:rPr>
          <w:rFonts w:hint="eastAsia"/>
        </w:rPr>
        <w:t>相关管理办法或任务书、合同、协议等对科研项目结余资金管理没有明确规定或约定的，参照第十条规定办理。</w:t>
      </w:r>
    </w:p>
    <w:p>
      <w:pPr>
        <w:pStyle w:val="3"/>
        <w:spacing w:beforeLines="0" w:line="560" w:lineRule="exact"/>
        <w:ind w:firstLine="632"/>
        <w:jc w:val="both"/>
      </w:pPr>
      <w:r>
        <w:rPr>
          <w:rFonts w:hint="eastAsia"/>
        </w:rPr>
        <w:t>科研管理部门应及时梳理科研项目结题相关信息并通知财务处办理结账手续。</w:t>
      </w:r>
    </w:p>
    <w:p>
      <w:pPr>
        <w:pStyle w:val="4"/>
        <w:numPr>
          <w:ilvl w:val="-1"/>
          <w:numId w:val="0"/>
        </w:numPr>
        <w:spacing w:beforeLines="0" w:line="560" w:lineRule="exact"/>
        <w:ind w:leftChars="0" w:firstLine="640"/>
      </w:pPr>
      <w:r>
        <w:rPr>
          <w:rFonts w:hint="default"/>
        </w:rPr>
        <w:t>（一）</w:t>
      </w:r>
      <w:r>
        <w:rPr>
          <w:rFonts w:hint="eastAsia"/>
        </w:rPr>
        <w:t>科研管理部门按照纵（横）向科研项目及项目结题验收时间，对项目资金进行分类。</w:t>
      </w:r>
    </w:p>
    <w:p>
      <w:pPr>
        <w:pStyle w:val="4"/>
        <w:numPr>
          <w:ilvl w:val="-1"/>
          <w:numId w:val="0"/>
        </w:numPr>
        <w:spacing w:beforeLines="0" w:line="560" w:lineRule="exact"/>
        <w:ind w:leftChars="0" w:firstLine="640"/>
      </w:pPr>
      <w:r>
        <w:rPr>
          <w:rFonts w:hint="default"/>
        </w:rPr>
        <w:t>（二）</w:t>
      </w:r>
      <w:r>
        <w:rPr>
          <w:rFonts w:hint="eastAsia"/>
        </w:rPr>
        <w:t>财务处根据科研管理部门提供的相关材料，将结余资金按纵（横）向转入科研预研基金。</w:t>
      </w:r>
    </w:p>
    <w:p>
      <w:pPr>
        <w:pStyle w:val="4"/>
        <w:numPr>
          <w:ilvl w:val="-1"/>
          <w:numId w:val="0"/>
        </w:numPr>
        <w:spacing w:beforeLines="0" w:line="560" w:lineRule="exact"/>
        <w:ind w:leftChars="0" w:firstLine="640"/>
      </w:pPr>
      <w:r>
        <w:rPr>
          <w:rFonts w:hint="default"/>
        </w:rPr>
        <w:t>（三）</w:t>
      </w:r>
      <w:r>
        <w:rPr>
          <w:rFonts w:hint="eastAsia"/>
        </w:rPr>
        <w:t>纵向科研预研基金参照学校纵向科研项目资金进行管理；横向科研预研基金参照学校横向科研项目资金进行管理，绩效奖励根据科研需要据实开支，报二级单位审批。</w:t>
      </w:r>
    </w:p>
    <w:p>
      <w:pPr>
        <w:pStyle w:val="3"/>
        <w:spacing w:beforeLines="0" w:line="560" w:lineRule="exact"/>
        <w:ind w:firstLine="632"/>
        <w:jc w:val="both"/>
      </w:pPr>
      <w:r>
        <w:rPr>
          <w:rFonts w:hint="eastAsia"/>
        </w:rPr>
        <w:t>科研项目已结题，项目负责人组织人事关系已调离学校的，学校财务部门根据科研管理部门的通知，将结余资金余额收回学校统筹安排。</w:t>
      </w:r>
    </w:p>
    <w:p>
      <w:pPr>
        <w:spacing w:beforeLines="0" w:line="560" w:lineRule="exact"/>
      </w:pPr>
    </w:p>
    <w:p>
      <w:pPr>
        <w:pStyle w:val="2"/>
        <w:spacing w:before="0" w:beforeLines="0" w:line="560" w:lineRule="exact"/>
        <w:rPr>
          <w:b w:val="0"/>
          <w:bCs w:val="0"/>
        </w:rPr>
      </w:pPr>
      <w:r>
        <w:rPr>
          <w:rFonts w:hint="eastAsia"/>
          <w:b w:val="0"/>
          <w:bCs w:val="0"/>
        </w:rPr>
        <w:t>附则</w:t>
      </w:r>
    </w:p>
    <w:p>
      <w:pPr>
        <w:pStyle w:val="3"/>
        <w:spacing w:beforeLines="0" w:line="560" w:lineRule="exact"/>
        <w:ind w:firstLine="632"/>
      </w:pPr>
      <w:r>
        <w:rPr>
          <w:rFonts w:hint="eastAsia"/>
        </w:rPr>
        <w:t>本办法由科技处、社科处、财务处负责解释。</w:t>
      </w:r>
    </w:p>
    <w:p>
      <w:pPr>
        <w:pStyle w:val="3"/>
        <w:spacing w:beforeLines="0" w:line="560" w:lineRule="exact"/>
        <w:ind w:firstLine="632"/>
      </w:pPr>
      <w:r>
        <w:rPr>
          <w:rFonts w:hint="eastAsia"/>
        </w:rPr>
        <w:t>本办法自公布之日起施行。《厦门大学科研项目结题结账及结余经费管理办法》（厦大财</w:t>
      </w:r>
      <w:r>
        <w:t>〔201</w:t>
      </w:r>
      <w:r>
        <w:rPr>
          <w:rFonts w:hint="eastAsia"/>
        </w:rPr>
        <w:t>8</w:t>
      </w:r>
      <w:r>
        <w:t>〕</w:t>
      </w:r>
      <w:r>
        <w:rPr>
          <w:rFonts w:hint="eastAsia"/>
        </w:rPr>
        <w:t>40号）同时废止。</w:t>
      </w:r>
    </w:p>
    <w:bookmarkEnd w:id="1"/>
    <w:p>
      <w:pPr>
        <w:widowControl/>
        <w:adjustRightInd w:val="0"/>
        <w:spacing w:beforeLines="0" w:line="560" w:lineRule="exact"/>
        <w:contextualSpacing/>
        <w:rPr>
          <w:rFonts w:hint="eastAsia" w:ascii="仿宋" w:hAnsi="仿宋" w:eastAsia="仿宋"/>
          <w:sz w:val="32"/>
          <w:szCs w:val="30"/>
        </w:rPr>
      </w:pPr>
      <w:bookmarkStart w:id="3" w:name="_GoBack"/>
      <w:r>
        <w:rPr>
          <w:rFonts w:hint="eastAsia" w:ascii="仿宋" w:hAnsi="仿宋" w:eastAsia="仿宋"/>
          <w:sz w:val="32"/>
          <w:szCs w:val="30"/>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11"/>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11"/>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End w:id="3"/>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1843" w:firstLine="0"/>
      </w:pPr>
      <w:rPr>
        <w:rFonts w:hint="eastAsia"/>
      </w:rPr>
    </w:lvl>
    <w:lvl w:ilvl="1" w:tentative="0">
      <w:start w:val="1"/>
      <w:numFmt w:val="chineseCountingThousand"/>
      <w:lvlRestart w:val="0"/>
      <w:pStyle w:val="3"/>
      <w:lvlText w:val="第%2条"/>
      <w:lvlJc w:val="left"/>
      <w:pPr>
        <w:ind w:left="0" w:firstLine="0"/>
      </w:pPr>
      <w:rPr>
        <w:rFonts w:hint="default" w:ascii="Times New Roman" w:hAnsi="Times New Roman" w:eastAsia="仿宋"/>
        <w:b/>
        <w:i w:val="0"/>
        <w:sz w:val="32"/>
      </w:rPr>
    </w:lvl>
    <w:lvl w:ilvl="2" w:tentative="0">
      <w:start w:val="1"/>
      <w:numFmt w:val="chineseCountingThousand"/>
      <w:pStyle w:val="4"/>
      <w:lvlText w:val="（%3）"/>
      <w:lvlJc w:val="left"/>
      <w:pPr>
        <w:ind w:left="7797"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34AF066E"/>
    <w:rsid w:val="37EFBE32"/>
    <w:rsid w:val="4DBF7F0F"/>
    <w:rsid w:val="5E3BD1FB"/>
    <w:rsid w:val="5F9FAC99"/>
    <w:rsid w:val="5FFA964A"/>
    <w:rsid w:val="6A9F38D4"/>
    <w:rsid w:val="77FFBC84"/>
    <w:rsid w:val="7BFE6065"/>
    <w:rsid w:val="7FDDA482"/>
    <w:rsid w:val="EF7B09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20"/>
    <w:qFormat/>
    <w:uiPriority w:val="9"/>
    <w:pPr>
      <w:numPr>
        <w:ilvl w:val="0"/>
        <w:numId w:val="1"/>
      </w:numPr>
      <w:adjustRightInd w:val="0"/>
      <w:snapToGrid w:val="0"/>
      <w:spacing w:before="100" w:beforeLines="100" w:line="579" w:lineRule="exact"/>
      <w:ind w:left="0" w:firstLine="200" w:firstLineChars="0"/>
      <w:jc w:val="center"/>
      <w:outlineLvl w:val="0"/>
    </w:pPr>
    <w:rPr>
      <w:rFonts w:eastAsia="黑体" w:cstheme="minorBidi"/>
      <w:b/>
      <w:bCs/>
      <w:kern w:val="44"/>
      <w:sz w:val="32"/>
      <w:szCs w:val="44"/>
    </w:rPr>
  </w:style>
  <w:style w:type="paragraph" w:styleId="3">
    <w:name w:val="heading 2"/>
    <w:basedOn w:val="1"/>
    <w:next w:val="1"/>
    <w:link w:val="21"/>
    <w:unhideWhenUsed/>
    <w:qFormat/>
    <w:uiPriority w:val="9"/>
    <w:pPr>
      <w:numPr>
        <w:ilvl w:val="1"/>
        <w:numId w:val="1"/>
      </w:numPr>
      <w:adjustRightInd w:val="0"/>
      <w:snapToGrid w:val="0"/>
      <w:spacing w:line="579" w:lineRule="exact"/>
      <w:ind w:firstLine="200" w:firstLineChars="200"/>
      <w:jc w:val="left"/>
      <w:outlineLvl w:val="1"/>
    </w:pPr>
    <w:rPr>
      <w:rFonts w:eastAsia="仿宋" w:cstheme="majorBidi"/>
      <w:bCs/>
      <w:sz w:val="32"/>
      <w:szCs w:val="32"/>
    </w:rPr>
  </w:style>
  <w:style w:type="paragraph" w:styleId="4">
    <w:name w:val="heading 3"/>
    <w:basedOn w:val="1"/>
    <w:next w:val="1"/>
    <w:link w:val="23"/>
    <w:unhideWhenUsed/>
    <w:qFormat/>
    <w:uiPriority w:val="9"/>
    <w:pPr>
      <w:numPr>
        <w:ilvl w:val="2"/>
        <w:numId w:val="1"/>
      </w:numPr>
      <w:adjustRightInd w:val="0"/>
      <w:snapToGrid w:val="0"/>
      <w:spacing w:line="579" w:lineRule="exact"/>
      <w:ind w:left="0" w:firstLine="200" w:firstLineChars="200"/>
      <w:outlineLvl w:val="2"/>
    </w:pPr>
    <w:rPr>
      <w:rFonts w:eastAsia="仿宋" w:cstheme="minorBidi"/>
      <w:bCs/>
      <w:sz w:val="32"/>
      <w:szCs w:val="32"/>
    </w:rPr>
  </w:style>
  <w:style w:type="paragraph" w:styleId="5">
    <w:name w:val="heading 4"/>
    <w:basedOn w:val="1"/>
    <w:next w:val="1"/>
    <w:link w:val="25"/>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3">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6">
    <w:name w:val="annotation text"/>
    <w:basedOn w:val="1"/>
    <w:link w:val="31"/>
    <w:semiHidden/>
    <w:unhideWhenUsed/>
    <w:uiPriority w:val="99"/>
    <w:pPr>
      <w:adjustRightInd w:val="0"/>
      <w:snapToGrid w:val="0"/>
      <w:spacing w:line="579" w:lineRule="exact"/>
      <w:ind w:firstLine="200" w:firstLineChars="200"/>
      <w:jc w:val="left"/>
    </w:pPr>
    <w:rPr>
      <w:rFonts w:eastAsia="仿宋" w:cstheme="minorBidi"/>
      <w:sz w:val="32"/>
      <w:szCs w:val="22"/>
    </w:rPr>
  </w:style>
  <w:style w:type="paragraph" w:styleId="7">
    <w:name w:val="Balloon Text"/>
    <w:basedOn w:val="1"/>
    <w:link w:val="17"/>
    <w:semiHidden/>
    <w:unhideWhenUsed/>
    <w:uiPriority w:val="99"/>
    <w:rPr>
      <w:sz w:val="18"/>
      <w:szCs w:val="18"/>
    </w:rPr>
  </w:style>
  <w:style w:type="paragraph" w:styleId="8">
    <w:name w:val="footer"/>
    <w:basedOn w:val="1"/>
    <w:link w:val="26"/>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32"/>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page number"/>
    <w:semiHidden/>
    <w:unhideWhenUsed/>
    <w:uiPriority w:val="99"/>
  </w:style>
  <w:style w:type="character" w:styleId="15">
    <w:name w:val="annotation reference"/>
    <w:basedOn w:val="13"/>
    <w:semiHidden/>
    <w:unhideWhenUsed/>
    <w:qFormat/>
    <w:uiPriority w:val="99"/>
    <w:rPr>
      <w:rFonts w:asciiTheme="minorHAnsi" w:hAnsiTheme="minorHAnsi" w:eastAsiaTheme="minorEastAsia" w:cstheme="minorBidi"/>
      <w:sz w:val="21"/>
      <w:szCs w:val="21"/>
    </w:rPr>
  </w:style>
  <w:style w:type="character" w:customStyle="1" w:styleId="16">
    <w:name w:val="页脚 Char"/>
    <w:link w:val="8"/>
    <w:uiPriority w:val="99"/>
    <w:rPr>
      <w:rFonts w:ascii="Times New Roman" w:hAnsi="Times New Roman" w:eastAsia="宋体" w:cs="Times New Roman"/>
      <w:kern w:val="0"/>
      <w:sz w:val="18"/>
      <w:szCs w:val="18"/>
      <w:lang w:val="zh-CN" w:eastAsia="zh-CN"/>
    </w:rPr>
  </w:style>
  <w:style w:type="character" w:customStyle="1" w:styleId="17">
    <w:name w:val="批注框文本 字符"/>
    <w:basedOn w:val="13"/>
    <w:link w:val="7"/>
    <w:semiHidden/>
    <w:uiPriority w:val="99"/>
    <w:rPr>
      <w:rFonts w:ascii="Times New Roman" w:hAnsi="Times New Roman"/>
      <w:kern w:val="2"/>
      <w:sz w:val="18"/>
      <w:szCs w:val="18"/>
    </w:rPr>
  </w:style>
  <w:style w:type="table" w:customStyle="1" w:styleId="18">
    <w:name w:val="Grid Table 1 Light"/>
    <w:basedOn w:val="11"/>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9">
    <w:name w:val="页眉 字符"/>
    <w:basedOn w:val="13"/>
    <w:link w:val="9"/>
    <w:qFormat/>
    <w:uiPriority w:val="99"/>
    <w:rPr>
      <w:rFonts w:ascii="Times New Roman" w:hAnsi="Times New Roman"/>
      <w:kern w:val="2"/>
      <w:sz w:val="18"/>
      <w:szCs w:val="18"/>
    </w:rPr>
  </w:style>
  <w:style w:type="character" w:customStyle="1" w:styleId="20">
    <w:name w:val="标题 1 字符"/>
    <w:basedOn w:val="13"/>
    <w:link w:val="2"/>
    <w:uiPriority w:val="9"/>
    <w:rPr>
      <w:rFonts w:eastAsia="黑体" w:asciiTheme="minorHAnsi" w:hAnsiTheme="minorHAnsi" w:cstheme="minorBidi"/>
      <w:b/>
      <w:bCs/>
      <w:kern w:val="44"/>
      <w:szCs w:val="44"/>
    </w:rPr>
  </w:style>
  <w:style w:type="character" w:customStyle="1" w:styleId="21">
    <w:name w:val="标题 2 字符"/>
    <w:basedOn w:val="13"/>
    <w:link w:val="3"/>
    <w:qFormat/>
    <w:uiPriority w:val="9"/>
    <w:rPr>
      <w:rFonts w:asciiTheme="minorHAnsi" w:hAnsiTheme="minorHAnsi" w:eastAsiaTheme="minorEastAsia" w:cstheme="majorBidi"/>
      <w:bCs/>
      <w:szCs w:val="32"/>
    </w:rPr>
  </w:style>
  <w:style w:type="paragraph" w:customStyle="1" w:styleId="22">
    <w:name w:val="00公文标题"/>
    <w:basedOn w:val="1"/>
    <w:link w:val="24"/>
    <w:qFormat/>
    <w:uiPriority w:val="0"/>
    <w:pPr>
      <w:adjustRightInd w:val="0"/>
      <w:snapToGrid w:val="0"/>
      <w:spacing w:afterLines="100" w:line="579" w:lineRule="exact"/>
      <w:ind w:firstLine="0" w:firstLineChars="0"/>
      <w:jc w:val="center"/>
      <w:outlineLvl w:val="0"/>
    </w:pPr>
    <w:rPr>
      <w:rFonts w:eastAsia="方正小标宋简体" w:cstheme="minorBidi"/>
      <w:sz w:val="44"/>
      <w:szCs w:val="22"/>
    </w:rPr>
  </w:style>
  <w:style w:type="character" w:customStyle="1" w:styleId="23">
    <w:name w:val="标题 3 字符"/>
    <w:basedOn w:val="13"/>
    <w:link w:val="4"/>
    <w:qFormat/>
    <w:uiPriority w:val="9"/>
    <w:rPr>
      <w:rFonts w:asciiTheme="minorHAnsi" w:hAnsiTheme="minorHAnsi" w:eastAsiaTheme="minorEastAsia" w:cstheme="minorBidi"/>
      <w:bCs/>
      <w:szCs w:val="32"/>
    </w:rPr>
  </w:style>
  <w:style w:type="character" w:customStyle="1" w:styleId="24">
    <w:name w:val="00公文标题 字符"/>
    <w:basedOn w:val="13"/>
    <w:link w:val="22"/>
    <w:uiPriority w:val="0"/>
    <w:rPr>
      <w:rFonts w:eastAsia="方正小标宋简体" w:asciiTheme="minorHAnsi" w:hAnsiTheme="minorHAnsi" w:cstheme="minorBidi"/>
      <w:sz w:val="44"/>
    </w:rPr>
  </w:style>
  <w:style w:type="character" w:customStyle="1" w:styleId="25">
    <w:name w:val="标题 4 字符"/>
    <w:basedOn w:val="13"/>
    <w:link w:val="5"/>
    <w:uiPriority w:val="9"/>
    <w:rPr>
      <w:rFonts w:asciiTheme="minorHAnsi" w:hAnsiTheme="minorHAnsi" w:eastAsiaTheme="minorEastAsia" w:cstheme="majorBidi"/>
      <w:bCs/>
      <w:szCs w:val="28"/>
    </w:rPr>
  </w:style>
  <w:style w:type="character" w:customStyle="1" w:styleId="26">
    <w:name w:val="页脚 字符"/>
    <w:basedOn w:val="13"/>
    <w:link w:val="8"/>
    <w:uiPriority w:val="99"/>
    <w:rPr>
      <w:rFonts w:ascii="Times New Roman" w:hAnsi="Times New Roman" w:eastAsia="仿宋" w:cstheme="minorBidi"/>
      <w:sz w:val="18"/>
      <w:szCs w:val="18"/>
    </w:rPr>
  </w:style>
  <w:style w:type="paragraph" w:customStyle="1" w:styleId="27">
    <w:name w:val="12页码奇数页"/>
    <w:basedOn w:val="8"/>
    <w:link w:val="29"/>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8">
    <w:name w:val="12页码偶数页"/>
    <w:basedOn w:val="8"/>
    <w:link w:val="30"/>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9">
    <w:name w:val="12页码奇数页 字符"/>
    <w:basedOn w:val="26"/>
    <w:link w:val="27"/>
    <w:uiPriority w:val="0"/>
    <w:rPr>
      <w:rFonts w:ascii="宋体" w:hAnsi="宋体" w:eastAsia="宋体"/>
      <w:sz w:val="28"/>
      <w:szCs w:val="28"/>
    </w:rPr>
  </w:style>
  <w:style w:type="character" w:customStyle="1" w:styleId="30">
    <w:name w:val="12页码偶数页 字符"/>
    <w:basedOn w:val="26"/>
    <w:link w:val="28"/>
    <w:uiPriority w:val="0"/>
    <w:rPr>
      <w:rFonts w:ascii="宋体" w:hAnsi="宋体" w:eastAsia="宋体"/>
      <w:sz w:val="28"/>
      <w:szCs w:val="28"/>
    </w:rPr>
  </w:style>
  <w:style w:type="character" w:customStyle="1" w:styleId="31">
    <w:name w:val="批注文字 字符"/>
    <w:basedOn w:val="13"/>
    <w:link w:val="6"/>
    <w:semiHidden/>
    <w:qFormat/>
    <w:uiPriority w:val="99"/>
    <w:rPr>
      <w:rFonts w:asciiTheme="minorHAnsi" w:hAnsiTheme="minorHAnsi" w:eastAsiaTheme="minorEastAsia" w:cstheme="minorBidi"/>
    </w:rPr>
  </w:style>
  <w:style w:type="character" w:customStyle="1" w:styleId="32">
    <w:name w:val="批注主题 字符"/>
    <w:basedOn w:val="31"/>
    <w:link w:val="10"/>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1951</Words>
  <Characters>1984</Characters>
  <Lines>14</Lines>
  <Paragraphs>4</Paragraphs>
  <TotalTime>48</TotalTime>
  <ScaleCrop>false</ScaleCrop>
  <LinksUpToDate>false</LinksUpToDate>
  <CharactersWithSpaces>2048</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2022-06-27T18:02:00Z</dcterms:created>
  <dc:creator>guest</dc:creator>
  <cp:lastModifiedBy>root</cp:lastModifiedBy>
  <dcterms:modified xsi:type="dcterms:W3CDTF">2022-08-11T15:54:56Z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